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F4" w:rsidRDefault="00B230F4" w:rsidP="00B230F4">
      <w:pPr>
        <w:pStyle w:val="ConsPlusNormal"/>
        <w:jc w:val="right"/>
      </w:pPr>
      <w:r>
        <w:t>Приложение N 17</w:t>
      </w:r>
    </w:p>
    <w:p w:rsidR="00B230F4" w:rsidRDefault="00B230F4" w:rsidP="00B230F4">
      <w:pPr>
        <w:pStyle w:val="ConsPlusNormal"/>
        <w:jc w:val="right"/>
      </w:pPr>
      <w:r>
        <w:t>к Учетной политике ГБОУ АО</w:t>
      </w:r>
    </w:p>
    <w:p w:rsidR="00B230F4" w:rsidRDefault="00B230F4" w:rsidP="00B230F4">
      <w:pPr>
        <w:pStyle w:val="ConsPlusNormal"/>
        <w:jc w:val="right"/>
      </w:pPr>
      <w:r>
        <w:t>"Вельская СКОШИ"</w:t>
      </w:r>
    </w:p>
    <w:p w:rsidR="00B230F4" w:rsidRDefault="00B230F4" w:rsidP="00B230F4">
      <w:pPr>
        <w:pStyle w:val="ConsPlusNormal"/>
        <w:jc w:val="right"/>
      </w:pPr>
      <w:r>
        <w:t>для целей бухгалтерского учета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jc w:val="center"/>
      </w:pPr>
      <w:bookmarkStart w:id="0" w:name="P5626"/>
      <w:bookmarkEnd w:id="0"/>
      <w:r>
        <w:rPr>
          <w:b/>
        </w:rPr>
        <w:t>Положение</w:t>
      </w:r>
    </w:p>
    <w:p w:rsidR="00B230F4" w:rsidRDefault="00B230F4" w:rsidP="00B230F4">
      <w:pPr>
        <w:pStyle w:val="ConsPlusNormal"/>
        <w:jc w:val="center"/>
      </w:pPr>
      <w:r>
        <w:rPr>
          <w:b/>
        </w:rPr>
        <w:t>об инвентаризации имущества и обязательств учреждения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jc w:val="center"/>
      </w:pPr>
      <w:r>
        <w:rPr>
          <w:b/>
        </w:rPr>
        <w:t>1. Организация проведения инвентаризация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ind w:firstLine="540"/>
        <w:jc w:val="both"/>
      </w:pPr>
      <w:r>
        <w:t xml:space="preserve">1.1. Инвентаризация имущества и обязательств учреждения проводится в соответствии с требованиями </w:t>
      </w:r>
      <w:hyperlink r:id="rId4" w:history="1">
        <w:r>
          <w:rPr>
            <w:color w:val="0000FF"/>
          </w:rPr>
          <w:t>ст. 11</w:t>
        </w:r>
      </w:hyperlink>
      <w:r>
        <w:t xml:space="preserve"> Федерального закона N 402-ФЗ, </w:t>
      </w:r>
      <w:hyperlink r:id="rId5" w:history="1">
        <w:r>
          <w:rPr>
            <w:color w:val="0000FF"/>
          </w:rPr>
          <w:t>п. п. 6</w:t>
        </w:r>
      </w:hyperlink>
      <w:r>
        <w:t xml:space="preserve">, </w:t>
      </w:r>
      <w:hyperlink r:id="rId6" w:history="1">
        <w:r>
          <w:rPr>
            <w:color w:val="0000FF"/>
          </w:rPr>
          <w:t>20</w:t>
        </w:r>
      </w:hyperlink>
      <w:r>
        <w:t xml:space="preserve"> Инструкции N 157н, Методических </w:t>
      </w:r>
      <w:hyperlink r:id="rId7" w:history="1">
        <w:r>
          <w:rPr>
            <w:color w:val="0000FF"/>
          </w:rPr>
          <w:t>указаний</w:t>
        </w:r>
      </w:hyperlink>
      <w: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B230F4" w:rsidRDefault="00B230F4" w:rsidP="00B230F4">
      <w:pPr>
        <w:pStyle w:val="ConsPlusNormal"/>
        <w:ind w:firstLine="540"/>
        <w:jc w:val="both"/>
      </w:pPr>
      <w: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B230F4" w:rsidRDefault="00B230F4" w:rsidP="00B230F4">
      <w:pPr>
        <w:pStyle w:val="ConsPlusNormal"/>
        <w:ind w:firstLine="540"/>
        <w:jc w:val="both"/>
      </w:pPr>
      <w: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B230F4" w:rsidRDefault="00B230F4" w:rsidP="00B230F4">
      <w:pPr>
        <w:pStyle w:val="ConsPlusNormal"/>
        <w:ind w:firstLine="540"/>
        <w:jc w:val="both"/>
      </w:pPr>
      <w: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настоящего Положения.</w:t>
      </w:r>
    </w:p>
    <w:p w:rsidR="00B230F4" w:rsidRDefault="00B230F4" w:rsidP="00B230F4">
      <w:pPr>
        <w:pStyle w:val="ConsPlusNormal"/>
        <w:ind w:firstLine="540"/>
        <w:jc w:val="both"/>
      </w:pPr>
      <w:r>
        <w:t>1.5. Инвентаризация имущества и обязательств учреждения проводится обязательно:</w:t>
      </w:r>
    </w:p>
    <w:p w:rsidR="00B230F4" w:rsidRDefault="00B230F4" w:rsidP="00B230F4">
      <w:pPr>
        <w:pStyle w:val="ConsPlusNormal"/>
        <w:ind w:firstLine="540"/>
        <w:jc w:val="both"/>
      </w:pPr>
      <w:r>
        <w:t>- при передаче имущества учреждения в аренду, выкупе, продаже;</w:t>
      </w:r>
    </w:p>
    <w:p w:rsidR="00B230F4" w:rsidRDefault="00B230F4" w:rsidP="00B230F4">
      <w:pPr>
        <w:pStyle w:val="ConsPlusNormal"/>
        <w:ind w:firstLine="540"/>
        <w:jc w:val="both"/>
      </w:pPr>
      <w: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</w:t>
      </w:r>
      <w:proofErr w:type="gramStart"/>
      <w:r>
        <w:t>дств пр</w:t>
      </w:r>
      <w:proofErr w:type="gramEnd"/>
      <w:r>
        <w:t>оводится ежегодно, а библиотечных фондов - один раз в пять лет;</w:t>
      </w:r>
    </w:p>
    <w:p w:rsidR="00B230F4" w:rsidRDefault="00B230F4" w:rsidP="00B230F4">
      <w:pPr>
        <w:pStyle w:val="ConsPlusNormal"/>
        <w:ind w:firstLine="540"/>
        <w:jc w:val="both"/>
      </w:pPr>
      <w:r>
        <w:t>- при смене материально ответственных лиц (на день приемки-передачи дел);</w:t>
      </w:r>
    </w:p>
    <w:p w:rsidR="00B230F4" w:rsidRDefault="00B230F4" w:rsidP="00B230F4">
      <w:pPr>
        <w:pStyle w:val="ConsPlusNormal"/>
        <w:ind w:firstLine="540"/>
        <w:jc w:val="both"/>
      </w:pPr>
      <w:r>
        <w:t>- при установлении фактов хищений или злоупотреблений, а также порчи ценностей;</w:t>
      </w:r>
    </w:p>
    <w:p w:rsidR="00B230F4" w:rsidRDefault="00B230F4" w:rsidP="00B230F4">
      <w:pPr>
        <w:pStyle w:val="ConsPlusNormal"/>
        <w:ind w:firstLine="540"/>
        <w:jc w:val="both"/>
      </w:pPr>
      <w:r>
        <w:t>- в случае стихийных бедствий, пожара, аварий или других чрезвычайных ситуаций, вызванных экстремальными условиями;</w:t>
      </w:r>
    </w:p>
    <w:p w:rsidR="00B230F4" w:rsidRDefault="00B230F4" w:rsidP="00B230F4">
      <w:pPr>
        <w:pStyle w:val="ConsPlusNormal"/>
        <w:ind w:firstLine="540"/>
        <w:jc w:val="both"/>
      </w:pPr>
      <w:r>
        <w:t>- при ликвидации (реорганизации) учреждения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 w:rsidR="00B230F4" w:rsidRDefault="00B230F4" w:rsidP="00B230F4">
      <w:pPr>
        <w:pStyle w:val="ConsPlusNormal"/>
        <w:ind w:firstLine="540"/>
        <w:jc w:val="both"/>
      </w:pPr>
      <w:r>
        <w:t>Ежемесячно подлежат инвентаризации наличные денежные средства, денежные документы и бланки строгой отчетности, находящиеся в кассе учреждения.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1.6. Приказы о проведении инвентаризации </w:t>
      </w:r>
      <w:hyperlink r:id="rId8" w:history="1">
        <w:r>
          <w:rPr>
            <w:color w:val="0000FF"/>
          </w:rPr>
          <w:t>(форма N ИНВ-22)</w:t>
        </w:r>
      </w:hyperlink>
      <w:r>
        <w:t xml:space="preserve"> подлежат регистрации в </w:t>
      </w:r>
      <w:hyperlink r:id="rId9" w:history="1">
        <w:r>
          <w:rPr>
            <w:color w:val="0000FF"/>
          </w:rPr>
          <w:t>журнале</w:t>
        </w:r>
      </w:hyperlink>
      <w:r>
        <w:t xml:space="preserve"> учета </w:t>
      </w:r>
      <w:proofErr w:type="gramStart"/>
      <w:r>
        <w:t>контроля за</w:t>
      </w:r>
      <w:proofErr w:type="gramEnd"/>
      <w:r>
        <w:t xml:space="preserve"> выполнением приказов (постановлений, распоряжений) о проведении инвентаризации (далее - журнал (форма N ИНВ-23)).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В приказе </w:t>
      </w:r>
      <w:hyperlink r:id="rId10" w:history="1">
        <w:r>
          <w:rPr>
            <w:color w:val="0000FF"/>
          </w:rPr>
          <w:t>(форма N ИНВ-22)</w:t>
        </w:r>
      </w:hyperlink>
      <w:r>
        <w:t xml:space="preserve"> указываются:</w:t>
      </w:r>
    </w:p>
    <w:p w:rsidR="00B230F4" w:rsidRDefault="00B230F4" w:rsidP="00B230F4">
      <w:pPr>
        <w:pStyle w:val="ConsPlusNormal"/>
        <w:ind w:firstLine="540"/>
        <w:jc w:val="both"/>
      </w:pPr>
      <w:r>
        <w:t>- наименование имущества и обязательств, подлежащих инвентаризации;</w:t>
      </w:r>
    </w:p>
    <w:p w:rsidR="00B230F4" w:rsidRDefault="00B230F4" w:rsidP="00B230F4">
      <w:pPr>
        <w:pStyle w:val="ConsPlusNormal"/>
        <w:ind w:firstLine="540"/>
        <w:jc w:val="both"/>
      </w:pPr>
      <w:r>
        <w:t>- дата начала и окончания проведения инвентаризации;</w:t>
      </w:r>
    </w:p>
    <w:p w:rsidR="00B230F4" w:rsidRDefault="00B230F4" w:rsidP="00B230F4">
      <w:pPr>
        <w:pStyle w:val="ConsPlusNormal"/>
        <w:ind w:firstLine="540"/>
        <w:jc w:val="both"/>
      </w:pPr>
      <w:r>
        <w:t>- причина проведения инвентаризации.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Председатель и члены инвентаризационной комиссии в обязательном порядке ставят подписи в журнале </w:t>
      </w:r>
      <w:hyperlink r:id="rId11" w:history="1">
        <w:r>
          <w:rPr>
            <w:color w:val="0000FF"/>
          </w:rPr>
          <w:t>(форма N ИНВ-23)</w:t>
        </w:r>
      </w:hyperlink>
      <w:r>
        <w:t>, подтверждающие их ознакомление с приказом.</w:t>
      </w:r>
    </w:p>
    <w:p w:rsidR="00B230F4" w:rsidRDefault="00B230F4" w:rsidP="00B230F4">
      <w:pPr>
        <w:pStyle w:val="ConsPlusNormal"/>
        <w:ind w:firstLine="540"/>
        <w:jc w:val="both"/>
      </w:pPr>
      <w:r>
        <w:t>1.7. Членами комиссии могут быть работники администрации, бухгалтерии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представители независимых аудиторских организаций.</w:t>
      </w:r>
    </w:p>
    <w:p w:rsidR="00B230F4" w:rsidRDefault="00B230F4" w:rsidP="00B230F4">
      <w:pPr>
        <w:pStyle w:val="ConsPlusNormal"/>
        <w:ind w:firstLine="540"/>
        <w:jc w:val="both"/>
      </w:pPr>
      <w: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B230F4" w:rsidRDefault="00B230F4" w:rsidP="00B230F4">
      <w:pPr>
        <w:pStyle w:val="ConsPlusNormal"/>
        <w:ind w:firstLine="540"/>
        <w:jc w:val="both"/>
      </w:pPr>
      <w:r>
        <w:lastRenderedPageBreak/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</w:t>
      </w:r>
      <w:proofErr w:type="gramStart"/>
      <w:r>
        <w:t>на</w:t>
      </w:r>
      <w:proofErr w:type="gramEnd"/>
      <w:r>
        <w:t xml:space="preserve">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B230F4" w:rsidRDefault="00B230F4" w:rsidP="00B230F4">
      <w:pPr>
        <w:pStyle w:val="ConsPlusNormal"/>
        <w:ind w:firstLine="540"/>
        <w:jc w:val="both"/>
      </w:pPr>
      <w: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B230F4" w:rsidRDefault="00B230F4" w:rsidP="00B230F4">
      <w:pPr>
        <w:pStyle w:val="ConsPlusNormal"/>
        <w:ind w:firstLine="540"/>
        <w:jc w:val="both"/>
      </w:pPr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B230F4" w:rsidRDefault="00B230F4" w:rsidP="00B230F4">
      <w:pPr>
        <w:pStyle w:val="ConsPlusNormal"/>
        <w:ind w:firstLine="540"/>
        <w:jc w:val="both"/>
      </w:pPr>
      <w:r>
        <w:t>1.10.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Учреждение использует формы инвентаризационных описей, приведенные в </w:t>
      </w:r>
      <w:hyperlink r:id="rId12" w:history="1">
        <w:r>
          <w:rPr>
            <w:color w:val="0000FF"/>
          </w:rPr>
          <w:t>Приказе</w:t>
        </w:r>
      </w:hyperlink>
      <w:r>
        <w:t xml:space="preserve"> Минфина России от 30.03.2015 N 52н.</w:t>
      </w:r>
    </w:p>
    <w:p w:rsidR="00B230F4" w:rsidRDefault="00B230F4" w:rsidP="00B230F4">
      <w:pPr>
        <w:pStyle w:val="ConsPlusNormal"/>
        <w:ind w:firstLine="540"/>
        <w:jc w:val="both"/>
      </w:pPr>
      <w:r>
        <w:t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B230F4" w:rsidRDefault="00B230F4" w:rsidP="00B230F4">
      <w:pPr>
        <w:pStyle w:val="ConsPlusNormal"/>
        <w:ind w:firstLine="540"/>
        <w:jc w:val="both"/>
      </w:pPr>
      <w:r>
        <w:t>1.13. На имущество, находящееся на ответственном хранении, арендованное или полученное для переработки, составляются отдельные описи (акты).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jc w:val="center"/>
      </w:pPr>
      <w:r>
        <w:rPr>
          <w:b/>
        </w:rPr>
        <w:t>2. Имущество и обязательства, подлежащие инвентаризации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ind w:firstLine="540"/>
        <w:jc w:val="both"/>
      </w:pPr>
      <w: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B230F4" w:rsidRDefault="00B230F4" w:rsidP="00B230F4">
      <w:pPr>
        <w:pStyle w:val="ConsPlusNormal"/>
        <w:ind w:firstLine="540"/>
        <w:jc w:val="both"/>
      </w:pPr>
      <w:r>
        <w:t>1. Имущество и обязательства, учтенные на балансовых счетах:</w:t>
      </w:r>
    </w:p>
    <w:p w:rsidR="00B230F4" w:rsidRDefault="00B230F4" w:rsidP="00B230F4">
      <w:pPr>
        <w:pStyle w:val="ConsPlusNormal"/>
        <w:ind w:firstLine="540"/>
        <w:jc w:val="both"/>
      </w:pPr>
      <w:r>
        <w:t>1) основные средства;</w:t>
      </w:r>
    </w:p>
    <w:p w:rsidR="00B230F4" w:rsidRDefault="00B230F4" w:rsidP="00B230F4">
      <w:pPr>
        <w:pStyle w:val="ConsPlusNormal"/>
        <w:ind w:firstLine="540"/>
        <w:jc w:val="both"/>
      </w:pPr>
      <w:r>
        <w:t>2) нематериальные активы;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3) </w:t>
      </w:r>
      <w:proofErr w:type="spellStart"/>
      <w:r>
        <w:t>непроизведенные</w:t>
      </w:r>
      <w:proofErr w:type="spellEnd"/>
      <w:r>
        <w:t xml:space="preserve"> активы;</w:t>
      </w:r>
    </w:p>
    <w:p w:rsidR="00B230F4" w:rsidRDefault="00B230F4" w:rsidP="00B230F4">
      <w:pPr>
        <w:pStyle w:val="ConsPlusNormal"/>
        <w:ind w:firstLine="540"/>
        <w:jc w:val="both"/>
      </w:pPr>
      <w:r>
        <w:t>4) материальные запасы;</w:t>
      </w:r>
    </w:p>
    <w:p w:rsidR="00B230F4" w:rsidRDefault="00B230F4" w:rsidP="00B230F4">
      <w:pPr>
        <w:pStyle w:val="ConsPlusNormal"/>
        <w:ind w:firstLine="540"/>
        <w:jc w:val="both"/>
      </w:pPr>
      <w:r>
        <w:t>5) денежные средства;</w:t>
      </w:r>
    </w:p>
    <w:p w:rsidR="00B230F4" w:rsidRDefault="00B230F4" w:rsidP="00B230F4">
      <w:pPr>
        <w:pStyle w:val="ConsPlusNormal"/>
        <w:ind w:firstLine="540"/>
        <w:jc w:val="both"/>
      </w:pPr>
      <w:r>
        <w:t>6) денежные документы;</w:t>
      </w:r>
    </w:p>
    <w:p w:rsidR="00B230F4" w:rsidRDefault="00B230F4" w:rsidP="00B230F4">
      <w:pPr>
        <w:pStyle w:val="ConsPlusNormal"/>
        <w:ind w:firstLine="540"/>
        <w:jc w:val="both"/>
      </w:pPr>
      <w:r>
        <w:t>7) расчеты;</w:t>
      </w:r>
    </w:p>
    <w:p w:rsidR="00B230F4" w:rsidRDefault="00B230F4" w:rsidP="00B230F4">
      <w:pPr>
        <w:pStyle w:val="ConsPlusNormal"/>
        <w:ind w:firstLine="540"/>
        <w:jc w:val="both"/>
      </w:pPr>
      <w:r>
        <w:t>8) расходы будущих периодов;</w:t>
      </w:r>
    </w:p>
    <w:p w:rsidR="00B230F4" w:rsidRDefault="00B230F4" w:rsidP="00B230F4">
      <w:pPr>
        <w:pStyle w:val="ConsPlusNormal"/>
        <w:ind w:firstLine="540"/>
        <w:jc w:val="both"/>
      </w:pPr>
      <w:r>
        <w:t>9) резервы предстоящих расходов.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2. Имущество, учтенное на </w:t>
      </w:r>
      <w:proofErr w:type="spellStart"/>
      <w:r>
        <w:t>забалансовых</w:t>
      </w:r>
      <w:proofErr w:type="spellEnd"/>
      <w:r>
        <w:t xml:space="preserve"> счетах.</w:t>
      </w:r>
    </w:p>
    <w:p w:rsidR="00B230F4" w:rsidRDefault="00B230F4" w:rsidP="00B230F4">
      <w:pPr>
        <w:pStyle w:val="ConsPlusNormal"/>
        <w:ind w:firstLine="540"/>
        <w:jc w:val="both"/>
      </w:pPr>
      <w:r>
        <w:t>3. Другое имущество и обязательства в соответствии с приказом об инвентаризации.</w:t>
      </w:r>
    </w:p>
    <w:p w:rsidR="00B230F4" w:rsidRDefault="00B230F4" w:rsidP="00B230F4">
      <w:pPr>
        <w:pStyle w:val="ConsPlusNormal"/>
        <w:ind w:firstLine="540"/>
        <w:jc w:val="both"/>
      </w:pPr>
      <w: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jc w:val="center"/>
      </w:pPr>
      <w:r>
        <w:rPr>
          <w:b/>
        </w:rPr>
        <w:t>3. Оформление результатов инвентаризации</w:t>
      </w:r>
    </w:p>
    <w:p w:rsidR="00B230F4" w:rsidRDefault="00B230F4" w:rsidP="00B230F4">
      <w:pPr>
        <w:pStyle w:val="ConsPlusNormal"/>
        <w:jc w:val="center"/>
      </w:pPr>
      <w:r>
        <w:rPr>
          <w:b/>
        </w:rPr>
        <w:t>и регулирование выявленных расхождений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ind w:firstLine="540"/>
        <w:jc w:val="both"/>
      </w:pPr>
      <w:r>
        <w:lastRenderedPageBreak/>
        <w:t xml:space="preserve">3.1. </w:t>
      </w:r>
      <w:proofErr w:type="gramStart"/>
      <w:r>
        <w:t xml:space="preserve">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</w:t>
      </w:r>
      <w:hyperlink r:id="rId13" w:history="1">
        <w:r>
          <w:rPr>
            <w:color w:val="0000FF"/>
          </w:rPr>
          <w:t>(ф. 0504092)</w:t>
        </w:r>
      </w:hyperlink>
      <w: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</w:t>
      </w:r>
      <w:proofErr w:type="gramEnd"/>
      <w:r>
        <w:t xml:space="preserve"> На ценности, не принадлежащие учреждению на праве оперативного управления, но числящиеся в бухгалтерском учете на </w:t>
      </w:r>
      <w:proofErr w:type="spellStart"/>
      <w:r>
        <w:t>забалансовых</w:t>
      </w:r>
      <w:proofErr w:type="spellEnd"/>
      <w:r>
        <w:t xml:space="preserve"> счетах (на ответственном хранении, арендованные, полученные для переработки), составляется отдельная ведомость.</w:t>
      </w:r>
    </w:p>
    <w:p w:rsidR="00B230F4" w:rsidRDefault="00B230F4" w:rsidP="00B230F4">
      <w:pPr>
        <w:pStyle w:val="ConsPlusNormal"/>
        <w:ind w:firstLine="540"/>
        <w:jc w:val="both"/>
      </w:pPr>
      <w: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B230F4" w:rsidRDefault="00B230F4" w:rsidP="00B230F4">
      <w:pPr>
        <w:pStyle w:val="ConsPlusNormal"/>
        <w:ind w:firstLine="540"/>
        <w:jc w:val="both"/>
      </w:pPr>
      <w: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B230F4" w:rsidRDefault="00B230F4" w:rsidP="00B230F4">
      <w:pPr>
        <w:pStyle w:val="ConsPlusNormal"/>
        <w:ind w:firstLine="540"/>
        <w:jc w:val="both"/>
      </w:pPr>
      <w:r>
        <w:t>3.4.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B230F4" w:rsidRDefault="00B230F4" w:rsidP="00B230F4">
      <w:pPr>
        <w:pStyle w:val="ConsPlusNormal"/>
        <w:ind w:firstLine="540"/>
        <w:jc w:val="both"/>
      </w:pPr>
      <w:r>
        <w:t>- по отнесению недостач имущества, а также имущества, пришедшего в негодность, за счет виновных лиц либо их списанию;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- по </w:t>
      </w:r>
      <w:proofErr w:type="spellStart"/>
      <w:r>
        <w:t>оприходованию</w:t>
      </w:r>
      <w:proofErr w:type="spellEnd"/>
      <w:r>
        <w:t xml:space="preserve"> излишков;</w:t>
      </w:r>
    </w:p>
    <w:p w:rsidR="00B230F4" w:rsidRDefault="00B230F4" w:rsidP="00B230F4">
      <w:pPr>
        <w:pStyle w:val="ConsPlusNormal"/>
        <w:ind w:firstLine="540"/>
        <w:jc w:val="both"/>
      </w:pPr>
      <w: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B230F4" w:rsidRDefault="00B230F4" w:rsidP="00B230F4">
      <w:pPr>
        <w:pStyle w:val="ConsPlusNormal"/>
        <w:ind w:firstLine="540"/>
        <w:jc w:val="both"/>
      </w:pPr>
      <w:r>
        <w:t>- по оптимизации приема, хранения и отпуска материальных ценностей;</w:t>
      </w:r>
    </w:p>
    <w:p w:rsidR="00B230F4" w:rsidRDefault="00B230F4" w:rsidP="00B230F4">
      <w:pPr>
        <w:pStyle w:val="ConsPlusNormal"/>
        <w:ind w:firstLine="540"/>
        <w:jc w:val="both"/>
      </w:pPr>
      <w:r>
        <w:t>- иные предложения.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3.5. На основании инвентаризационных описей (сличительных ведомостей), при необходимости - Ведомости расхождений по результатам инвентаризации </w:t>
      </w:r>
      <w:hyperlink r:id="rId14" w:history="1">
        <w:r>
          <w:rPr>
            <w:color w:val="0000FF"/>
          </w:rPr>
          <w:t>(ф. 0504092)</w:t>
        </w:r>
      </w:hyperlink>
      <w:r>
        <w:t xml:space="preserve">, комиссия составляет Акт о результатах инвентаризации </w:t>
      </w:r>
      <w:hyperlink r:id="rId15" w:history="1">
        <w:r>
          <w:rPr>
            <w:color w:val="0000FF"/>
          </w:rPr>
          <w:t>(ф. 0504835)</w:t>
        </w:r>
      </w:hyperlink>
      <w:r>
        <w:t>. 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B230F4" w:rsidRDefault="00B230F4" w:rsidP="00B230F4">
      <w:pPr>
        <w:pStyle w:val="ConsPlusNormal"/>
        <w:ind w:firstLine="540"/>
        <w:jc w:val="both"/>
      </w:pPr>
      <w:r>
        <w:t>3.6. По результатам инвентаризации руководитель учреждения издает приказ.</w:t>
      </w:r>
    </w:p>
    <w:p w:rsidR="00B230F4" w:rsidRDefault="00B230F4" w:rsidP="00B230F4">
      <w:pPr>
        <w:pStyle w:val="ConsPlusNormal"/>
        <w:ind w:firstLine="540"/>
        <w:jc w:val="both"/>
      </w:pPr>
      <w: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B230F4" w:rsidRDefault="00B230F4" w:rsidP="00B230F4">
      <w:pPr>
        <w:pStyle w:val="ConsPlusNormal"/>
        <w:ind w:firstLine="540"/>
        <w:jc w:val="both"/>
      </w:pPr>
      <w:r>
        <w:t xml:space="preserve">3.8. В подтверждение правильности результатов инвентаризации проводятся контрольные проверки. Указанные проверки оформляются отдельным приказом по учреждению. Результаты контрольных проверок оформляются Актом о контрольной проверке правильности проведения инвентаризации ценностей </w:t>
      </w:r>
      <w:hyperlink r:id="rId16" w:history="1">
        <w:r>
          <w:rPr>
            <w:color w:val="0000FF"/>
          </w:rPr>
          <w:t>(форма N ИНВ-24)</w:t>
        </w:r>
      </w:hyperlink>
      <w:r>
        <w:t xml:space="preserve"> и регистрируются в журнале учета контрольных проверок правильности проведения инвентаризаций </w:t>
      </w:r>
      <w:hyperlink r:id="rId17" w:history="1">
        <w:r>
          <w:rPr>
            <w:color w:val="0000FF"/>
          </w:rPr>
          <w:t>(форма N ИНВ-25)</w:t>
        </w:r>
      </w:hyperlink>
      <w:r>
        <w:t>.</w:t>
      </w:r>
    </w:p>
    <w:p w:rsidR="00B230F4" w:rsidRDefault="00B230F4" w:rsidP="00B230F4">
      <w:pPr>
        <w:pStyle w:val="ConsPlusNormal"/>
        <w:jc w:val="both"/>
      </w:pPr>
    </w:p>
    <w:p w:rsidR="00B230F4" w:rsidRDefault="00B230F4" w:rsidP="00B230F4">
      <w:pPr>
        <w:pStyle w:val="ConsPlusNormal"/>
        <w:jc w:val="both"/>
      </w:pPr>
    </w:p>
    <w:p w:rsidR="00801D03" w:rsidRDefault="00B230F4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B230F4"/>
    <w:rsid w:val="00156776"/>
    <w:rsid w:val="008A7269"/>
    <w:rsid w:val="008B7A94"/>
    <w:rsid w:val="00B230F4"/>
    <w:rsid w:val="00BE0CE5"/>
    <w:rsid w:val="00B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ACF6441EA81297B9C9FC5710824F08AC2B5CCFD15031292D782438B9467543BA36EB13986EAI964M" TargetMode="External"/><Relationship Id="rId13" Type="http://schemas.openxmlformats.org/officeDocument/2006/relationships/hyperlink" Target="consultantplus://offline/ref=423ACF6441EA81297B9C9FC5710824F089C2B0CDFA185E189A8E8E418C9B38433CEA62B03A81EA94I261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ACF6441EA81297B9C9FC5710824F089C5B0C3FB1E5E189A8E8E418C9B38433CEA62B03A84EB9DI264M" TargetMode="External"/><Relationship Id="rId12" Type="http://schemas.openxmlformats.org/officeDocument/2006/relationships/hyperlink" Target="consultantplus://offline/ref=423ACF6441EA81297B9C9FC5710824F089CDB4CBFC1D5E189A8E8E418CI96BM" TargetMode="External"/><Relationship Id="rId17" Type="http://schemas.openxmlformats.org/officeDocument/2006/relationships/hyperlink" Target="consultantplus://offline/ref=423ACF6441EA81297B9C9FC5710824F08AC2B5CCFD15031292D782438B9467543BA36EB13981EAI96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ACF6441EA81297B9C9FC5710824F08AC2B5CCFD15031292D782438B9467543BA36EB13987EDI96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ACF6441EA81297B9C9FC5710824F089CDB2CEFD165E189A8E8E418C9B38433CEA62B03FI860M" TargetMode="External"/><Relationship Id="rId11" Type="http://schemas.openxmlformats.org/officeDocument/2006/relationships/hyperlink" Target="consultantplus://offline/ref=423ACF6441EA81297B9C9FC5710824F08AC2B5CCFD15031292D782438B9467543BA36EB13986EDI96FM" TargetMode="External"/><Relationship Id="rId5" Type="http://schemas.openxmlformats.org/officeDocument/2006/relationships/hyperlink" Target="consultantplus://offline/ref=423ACF6441EA81297B9C9FC5710824F089CDB2CEFD165E189A8E8E418C9B38433CEA62B03A84EF9DI265M" TargetMode="External"/><Relationship Id="rId15" Type="http://schemas.openxmlformats.org/officeDocument/2006/relationships/hyperlink" Target="consultantplus://offline/ref=423ACF6441EA81297B9C9FC5710824F089C2B0CDFA185E189A8E8E418C9B38433CEA62B03A86E895I264M" TargetMode="External"/><Relationship Id="rId10" Type="http://schemas.openxmlformats.org/officeDocument/2006/relationships/hyperlink" Target="consultantplus://offline/ref=423ACF6441EA81297B9C9FC5710824F08AC2B5CCFD15031292D782438B9467543BA36EB13986EAI96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23ACF6441EA81297B9C9FC5710824F089C2B7CFFB1D5E189A8E8E418C9B38433CEA62B03A84EA9DI265M" TargetMode="External"/><Relationship Id="rId9" Type="http://schemas.openxmlformats.org/officeDocument/2006/relationships/hyperlink" Target="consultantplus://offline/ref=423ACF6441EA81297B9C9FC5710824F08AC2B5CCFD15031292D782438B9467543BA36EB13986EDI96FM" TargetMode="External"/><Relationship Id="rId14" Type="http://schemas.openxmlformats.org/officeDocument/2006/relationships/hyperlink" Target="consultantplus://offline/ref=423ACF6441EA81297B9C9FC5710824F089C2B0CDFA185E189A8E8E418C9B38433CEA62B03A81EA94I2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1671</Words>
  <Characters>9526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2018-09-27T09:50:00Z</dcterms:created>
  <dcterms:modified xsi:type="dcterms:W3CDTF">2018-09-27T09:51:00Z</dcterms:modified>
</cp:coreProperties>
</file>